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AC66F" w14:textId="77777777" w:rsidR="00B16F46" w:rsidRPr="001512B3" w:rsidRDefault="00B16F46" w:rsidP="00B16F46">
      <w:pPr>
        <w:pStyle w:val="Title"/>
      </w:pPr>
      <w:r w:rsidRPr="00330CB5">
        <w:t>Anterior Lumbar Interbody fusion</w:t>
      </w:r>
    </w:p>
    <w:p w14:paraId="75AB68A9" w14:textId="77777777" w:rsidR="00B16F46" w:rsidRDefault="00B16F46" w:rsidP="00B16F46">
      <w:pPr>
        <w:rPr>
          <w:rFonts w:ascii="Times New Roman" w:hAnsi="Times New Roman" w:cs="Times New Roman"/>
          <w:sz w:val="24"/>
          <w:szCs w:val="24"/>
        </w:rPr>
      </w:pPr>
    </w:p>
    <w:p w14:paraId="4BDB2184" w14:textId="77777777" w:rsidR="00B16F46" w:rsidRPr="00330CB5" w:rsidRDefault="00B16F46" w:rsidP="00B16F46">
      <w:pPr>
        <w:rPr>
          <w:rFonts w:ascii="Times New Roman" w:hAnsi="Times New Roman" w:cs="Times New Roman"/>
          <w:sz w:val="24"/>
          <w:szCs w:val="24"/>
        </w:rPr>
      </w:pPr>
      <w:r w:rsidRPr="00330CB5">
        <w:rPr>
          <w:rFonts w:ascii="Times New Roman" w:hAnsi="Times New Roman" w:cs="Times New Roman"/>
          <w:sz w:val="24"/>
          <w:szCs w:val="24"/>
        </w:rPr>
        <w:t xml:space="preserve">Anterior Lumbar Interbody fusion is performed to stabilize the spine and to indirectly decompress the spinal nerves. </w:t>
      </w:r>
    </w:p>
    <w:p w14:paraId="30A1A430" w14:textId="77777777" w:rsidR="00B16F46" w:rsidRPr="00330CB5" w:rsidRDefault="00B16F46" w:rsidP="00B16F4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0CB5">
        <w:rPr>
          <w:rFonts w:ascii="Times New Roman" w:hAnsi="Times New Roman" w:cs="Times New Roman"/>
          <w:b/>
          <w:i/>
          <w:sz w:val="24"/>
          <w:szCs w:val="24"/>
        </w:rPr>
        <w:t>Surgical Approach</w:t>
      </w:r>
    </w:p>
    <w:p w14:paraId="44249A1B" w14:textId="77777777" w:rsidR="00B16F46" w:rsidRPr="00330CB5" w:rsidRDefault="00B16F46" w:rsidP="00B16F46">
      <w:pPr>
        <w:rPr>
          <w:rFonts w:ascii="Times New Roman" w:hAnsi="Times New Roman" w:cs="Times New Roman"/>
          <w:sz w:val="24"/>
          <w:szCs w:val="24"/>
        </w:rPr>
      </w:pPr>
      <w:r w:rsidRPr="00330CB5">
        <w:rPr>
          <w:rFonts w:ascii="Times New Roman" w:hAnsi="Times New Roman" w:cs="Times New Roman"/>
          <w:sz w:val="24"/>
          <w:szCs w:val="24"/>
        </w:rPr>
        <w:t xml:space="preserve">The spine is approached through an incision in the lower abdomen. A vascular surgeon </w:t>
      </w:r>
      <w:r>
        <w:rPr>
          <w:rFonts w:ascii="Times New Roman" w:hAnsi="Times New Roman" w:cs="Times New Roman"/>
          <w:sz w:val="24"/>
          <w:szCs w:val="24"/>
        </w:rPr>
        <w:t xml:space="preserve">may </w:t>
      </w:r>
      <w:r w:rsidRPr="00330CB5">
        <w:rPr>
          <w:rFonts w:ascii="Times New Roman" w:hAnsi="Times New Roman" w:cs="Times New Roman"/>
          <w:sz w:val="24"/>
          <w:szCs w:val="24"/>
        </w:rPr>
        <w:t>assist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CB5">
        <w:rPr>
          <w:rFonts w:ascii="Times New Roman" w:hAnsi="Times New Roman" w:cs="Times New Roman"/>
          <w:sz w:val="24"/>
          <w:szCs w:val="24"/>
        </w:rPr>
        <w:t xml:space="preserve">Dr Bhandarkar with the approach. </w:t>
      </w:r>
    </w:p>
    <w:p w14:paraId="4B38E163" w14:textId="77777777" w:rsidR="00B16F46" w:rsidRPr="00330CB5" w:rsidRDefault="00B16F46" w:rsidP="00B16F46">
      <w:pPr>
        <w:rPr>
          <w:rFonts w:ascii="Times New Roman" w:hAnsi="Times New Roman" w:cs="Times New Roman"/>
          <w:sz w:val="24"/>
          <w:szCs w:val="24"/>
        </w:rPr>
      </w:pPr>
      <w:r w:rsidRPr="00330CB5">
        <w:rPr>
          <w:rFonts w:ascii="Times New Roman" w:hAnsi="Times New Roman" w:cs="Times New Roman"/>
          <w:sz w:val="24"/>
          <w:szCs w:val="24"/>
        </w:rPr>
        <w:t>This procedure involves removing the disc from the front and putting a bone graft spacer in the disc space.</w:t>
      </w:r>
    </w:p>
    <w:p w14:paraId="602B7C2A" w14:textId="77777777" w:rsidR="00B16F46" w:rsidRPr="00330CB5" w:rsidRDefault="00B16F46" w:rsidP="00B16F4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0CB5">
        <w:rPr>
          <w:rFonts w:ascii="Times New Roman" w:hAnsi="Times New Roman" w:cs="Times New Roman"/>
          <w:b/>
          <w:i/>
          <w:sz w:val="24"/>
          <w:szCs w:val="24"/>
        </w:rPr>
        <w:t>Bone graft</w:t>
      </w:r>
    </w:p>
    <w:p w14:paraId="7F4731FE" w14:textId="77777777" w:rsidR="00B16F46" w:rsidRPr="00330CB5" w:rsidRDefault="00B16F46" w:rsidP="00B16F46">
      <w:pPr>
        <w:rPr>
          <w:rFonts w:ascii="Times New Roman" w:hAnsi="Times New Roman" w:cs="Times New Roman"/>
          <w:sz w:val="24"/>
          <w:szCs w:val="24"/>
        </w:rPr>
      </w:pPr>
      <w:r w:rsidRPr="00330CB5">
        <w:rPr>
          <w:rFonts w:ascii="Times New Roman" w:hAnsi="Times New Roman" w:cs="Times New Roman"/>
          <w:sz w:val="24"/>
          <w:szCs w:val="24"/>
        </w:rPr>
        <w:t>Bone from the bone bank is used to form the fusion.  This bone may be supplemented with a bone graft or bone marrow harvested from the iliac crest (pelvis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30CB5">
        <w:rPr>
          <w:rFonts w:ascii="Times New Roman" w:hAnsi="Times New Roman" w:cs="Times New Roman"/>
          <w:sz w:val="24"/>
          <w:szCs w:val="24"/>
        </w:rPr>
        <w:t xml:space="preserve"> the flat bone on each side) The purpose of the bone graft harvest is to obtain bone to pack around the spine so that the vertebrae heal together.</w:t>
      </w:r>
    </w:p>
    <w:p w14:paraId="6955DC33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b/>
          <w:bCs/>
          <w:i/>
          <w:color w:val="000017"/>
          <w:sz w:val="24"/>
          <w:szCs w:val="24"/>
        </w:rPr>
        <w:t>Instrumentation</w:t>
      </w:r>
    </w:p>
    <w:p w14:paraId="1DED8558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This can include metal plates, washers, buttress plates with screws.</w:t>
      </w:r>
    </w:p>
    <w:p w14:paraId="3C213B43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 The purpose of the spinal instrumentation</w:t>
      </w:r>
    </w:p>
    <w:p w14:paraId="61EB5F51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(metal hardware) is to hold the spacer in the disc space and prevent its extrusion at the same time  </w:t>
      </w:r>
    </w:p>
    <w:p w14:paraId="1DB4886F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temporarily make the segments of the spine stiff until the bone fusion heals. </w:t>
      </w:r>
    </w:p>
    <w:p w14:paraId="31E2D448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</w:p>
    <w:p w14:paraId="65F68C58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b/>
          <w:i/>
          <w:color w:val="000017"/>
          <w:sz w:val="24"/>
          <w:szCs w:val="24"/>
        </w:rPr>
        <w:t xml:space="preserve">Expected outcomes. </w:t>
      </w:r>
    </w:p>
    <w:p w14:paraId="3E730308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</w:p>
    <w:p w14:paraId="5D48156F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Fusion involves make the segment of the spine permanently stiff. It results in some permanent loss of motion of the spine. </w:t>
      </w:r>
    </w:p>
    <w:p w14:paraId="316B20C3" w14:textId="77777777" w:rsidR="00B16F46" w:rsidRPr="00330CB5" w:rsidRDefault="00B16F46" w:rsidP="00B16F46">
      <w:pPr>
        <w:rPr>
          <w:rFonts w:ascii="Times New Roman" w:hAnsi="Times New Roman" w:cs="Times New Roman"/>
          <w:color w:val="000017"/>
          <w:sz w:val="24"/>
          <w:szCs w:val="24"/>
        </w:rPr>
      </w:pPr>
    </w:p>
    <w:p w14:paraId="75D49FB8" w14:textId="77777777" w:rsidR="00B16F46" w:rsidRPr="00330CB5" w:rsidRDefault="00B16F46" w:rsidP="00B16F46">
      <w:pPr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Supplemental Procedures </w:t>
      </w:r>
      <w:r>
        <w:rPr>
          <w:rFonts w:ascii="Times New Roman" w:hAnsi="Times New Roman" w:cs="Times New Roman"/>
          <w:color w:val="000017"/>
          <w:sz w:val="24"/>
          <w:szCs w:val="24"/>
        </w:rPr>
        <w:t>that may be required</w:t>
      </w:r>
    </w:p>
    <w:p w14:paraId="79004F99" w14:textId="77777777" w:rsidR="00B16F46" w:rsidRPr="00330CB5" w:rsidRDefault="00B16F46" w:rsidP="00B16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Urinary catheter</w:t>
      </w:r>
    </w:p>
    <w:p w14:paraId="1BFAA73B" w14:textId="77777777" w:rsidR="00B16F46" w:rsidRPr="00330CB5" w:rsidRDefault="00B16F46" w:rsidP="00B16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C- arm – X-ray imaging</w:t>
      </w:r>
    </w:p>
    <w:p w14:paraId="79EE45A4" w14:textId="77777777" w:rsidR="00B16F46" w:rsidRPr="00330CB5" w:rsidRDefault="00B16F46" w:rsidP="00B16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Drains </w:t>
      </w:r>
    </w:p>
    <w:p w14:paraId="44F2A228" w14:textId="77777777" w:rsidR="00B16F46" w:rsidRDefault="00B16F46" w:rsidP="00B16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local anesthetic infiltration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 at the incision site</w:t>
      </w:r>
    </w:p>
    <w:p w14:paraId="2B43C2DB" w14:textId="77777777" w:rsidR="00B16F46" w:rsidRDefault="00B16F46" w:rsidP="00B16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17"/>
          <w:sz w:val="24"/>
          <w:szCs w:val="24"/>
        </w:rPr>
      </w:pPr>
      <w:r>
        <w:rPr>
          <w:rFonts w:ascii="Times New Roman" w:hAnsi="Times New Roman" w:cs="Times New Roman"/>
          <w:color w:val="000017"/>
          <w:sz w:val="24"/>
          <w:szCs w:val="24"/>
        </w:rPr>
        <w:t xml:space="preserve">Bone marrow aspiration </w:t>
      </w:r>
    </w:p>
    <w:p w14:paraId="61971BBB" w14:textId="77777777" w:rsidR="00B16F46" w:rsidRPr="00330CB5" w:rsidRDefault="00B16F46" w:rsidP="00B16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17"/>
          <w:sz w:val="24"/>
          <w:szCs w:val="24"/>
        </w:rPr>
      </w:pPr>
      <w:r>
        <w:rPr>
          <w:rFonts w:ascii="Times New Roman" w:hAnsi="Times New Roman" w:cs="Times New Roman"/>
          <w:color w:val="000017"/>
          <w:sz w:val="24"/>
          <w:szCs w:val="24"/>
        </w:rPr>
        <w:t>Bone graft harvesting – separate incision</w:t>
      </w:r>
    </w:p>
    <w:p w14:paraId="7D0FBC68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b/>
          <w:bCs/>
          <w:i/>
          <w:color w:val="000017"/>
          <w:sz w:val="24"/>
          <w:szCs w:val="24"/>
        </w:rPr>
        <w:t>Staged Surgery</w:t>
      </w:r>
    </w:p>
    <w:p w14:paraId="5FBBDC10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A combination of anterior and posterior approaches may be indicated. This may be done:</w:t>
      </w:r>
    </w:p>
    <w:p w14:paraId="44F63C6F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eastAsia="Wingdings2" w:hAnsi="Times New Roman" w:cs="Times New Roman"/>
          <w:color w:val="3378FF"/>
          <w:sz w:val="24"/>
          <w:szCs w:val="24"/>
        </w:rPr>
        <w:t xml:space="preserve">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On the same day under one anesthetic</w:t>
      </w:r>
    </w:p>
    <w:p w14:paraId="35795A5F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eastAsia="Wingdings2" w:hAnsi="Times New Roman" w:cs="Times New Roman"/>
          <w:color w:val="3378FF"/>
          <w:sz w:val="24"/>
          <w:szCs w:val="24"/>
        </w:rPr>
        <w:t xml:space="preserve">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Five to seven days apart</w:t>
      </w:r>
    </w:p>
    <w:p w14:paraId="0B8CC582" w14:textId="77777777" w:rsidR="00B16F46" w:rsidRPr="00330CB5" w:rsidRDefault="00B16F46" w:rsidP="00B16F46">
      <w:pPr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eastAsia="Wingdings2" w:hAnsi="Times New Roman" w:cs="Times New Roman"/>
          <w:color w:val="3378FF"/>
          <w:sz w:val="24"/>
          <w:szCs w:val="24"/>
        </w:rPr>
        <w:t xml:space="preserve">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Eight to twelve weeks apart</w:t>
      </w:r>
    </w:p>
    <w:p w14:paraId="3281BB48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17"/>
          <w:sz w:val="24"/>
          <w:szCs w:val="24"/>
        </w:rPr>
      </w:pPr>
    </w:p>
    <w:p w14:paraId="35FA95B2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b/>
          <w:bCs/>
          <w:color w:val="000017"/>
          <w:sz w:val="24"/>
          <w:szCs w:val="24"/>
        </w:rPr>
        <w:t>Risks/Complications</w:t>
      </w:r>
    </w:p>
    <w:p w14:paraId="694D8DA7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The following are some but not all the risks associated with this procedure:</w:t>
      </w:r>
    </w:p>
    <w:p w14:paraId="5F401E27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b/>
          <w:i/>
          <w:color w:val="000017"/>
          <w:sz w:val="24"/>
          <w:szCs w:val="24"/>
        </w:rPr>
        <w:t>General anesthesia:</w:t>
      </w:r>
    </w:p>
    <w:p w14:paraId="39D199E2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Risks of cardiac arrest/failure, pulmonary failure and/or death.</w:t>
      </w:r>
    </w:p>
    <w:p w14:paraId="3909332A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b/>
          <w:i/>
          <w:color w:val="000017"/>
          <w:sz w:val="24"/>
          <w:szCs w:val="24"/>
        </w:rPr>
        <w:t xml:space="preserve">Approach related complications </w:t>
      </w:r>
    </w:p>
    <w:p w14:paraId="30FCB7B6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 Damage to the contents of the abdomen such as bowels may require additional surgery.</w:t>
      </w:r>
    </w:p>
    <w:p w14:paraId="6A2098B5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Bigger blood vessels in the abdomen are at risk of injury due to their proximity to the operating site– if detected intraoperatively are repaired by the vascular surgery</w:t>
      </w:r>
      <w:r>
        <w:rPr>
          <w:rFonts w:ascii="Times New Roman" w:hAnsi="Times New Roman" w:cs="Times New Roman"/>
          <w:color w:val="000017"/>
          <w:sz w:val="24"/>
          <w:szCs w:val="24"/>
        </w:rPr>
        <w:t>,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 providing access or might need another surgery. </w:t>
      </w:r>
    </w:p>
    <w:p w14:paraId="7F8F3E8D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Irreparable vascular injury is catastrophic and might result in death. </w:t>
      </w:r>
    </w:p>
    <w:p w14:paraId="355FAF85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Damage to the nerves controlling ejaculation leading to sterility in males.</w:t>
      </w:r>
    </w:p>
    <w:p w14:paraId="32DD4461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</w:p>
    <w:p w14:paraId="6D950684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</w:p>
    <w:p w14:paraId="0927E886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b/>
          <w:i/>
          <w:color w:val="000017"/>
          <w:sz w:val="24"/>
          <w:szCs w:val="24"/>
        </w:rPr>
        <w:t>Nerve, spinal cord complications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:</w:t>
      </w:r>
    </w:p>
    <w:p w14:paraId="5B1005D0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Spinal cord damage.</w:t>
      </w:r>
    </w:p>
    <w:p w14:paraId="10BBF20E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Nerve root injury which could result in: numbness/tingling/ pain in one or both legs, weakness in one or both legs, loss of bowel, bladder and/or sexual function.</w:t>
      </w:r>
    </w:p>
    <w:p w14:paraId="1541AF5F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-sympathetic nerve dysfunction leading to one of both legs feeling unusual changes in color temperature or swelling.</w:t>
      </w:r>
    </w:p>
    <w:p w14:paraId="13F19067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Scarring around nerve roots (epidural fibrosis/arachnoiditis) which could result in intractable and untreatable leg pain/ numbness.</w:t>
      </w:r>
    </w:p>
    <w:p w14:paraId="353D7E6F" w14:textId="77777777" w:rsidR="00B16F46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Dural tear (cerebral spinal fluid leak) which if unrecognized or persistent despite repair could result in headaches, and/or need further surgical care.</w:t>
      </w:r>
    </w:p>
    <w:p w14:paraId="132838F3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</w:p>
    <w:p w14:paraId="091D86D7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b/>
          <w:i/>
          <w:color w:val="000017"/>
          <w:sz w:val="24"/>
          <w:szCs w:val="24"/>
        </w:rPr>
        <w:t>Wound complications:</w:t>
      </w:r>
    </w:p>
    <w:p w14:paraId="4CCAA14C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Superficial infection which could result in: need for</w:t>
      </w:r>
    </w:p>
    <w:p w14:paraId="149ACD7C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additional antibiotics or possibly further surgery.</w:t>
      </w:r>
    </w:p>
    <w:p w14:paraId="11C9BE9B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Deep infection which could result in: abscess formation, bone infection (osteomyelitis), infection of the spinal cord or nerve roots that could result in paralysis and ultimately</w:t>
      </w:r>
    </w:p>
    <w:p w14:paraId="03A1E866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death.</w:t>
      </w:r>
    </w:p>
    <w:p w14:paraId="755D4B59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 Deep infection would result in need for additional surgery(s) and might seriously jeopardize the expected result of the surgery. There may be a need for prolonged</w:t>
      </w:r>
    </w:p>
    <w:p w14:paraId="17207B50" w14:textId="77777777" w:rsidR="00B16F46" w:rsidRPr="00330CB5" w:rsidRDefault="00B16F46" w:rsidP="00B16F46">
      <w:pPr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IV antibiotics.</w:t>
      </w:r>
    </w:p>
    <w:p w14:paraId="542767C8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b/>
          <w:i/>
          <w:color w:val="000017"/>
          <w:sz w:val="24"/>
          <w:szCs w:val="24"/>
        </w:rPr>
        <w:t>Pseudoarthrosis:</w:t>
      </w:r>
    </w:p>
    <w:p w14:paraId="06C53495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This means the bone fusion doesn’t heal. This could result</w:t>
      </w:r>
    </w:p>
    <w:p w14:paraId="567EF233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in continued pain, hardware loosening or breakage and would lead to additional surgery. (Smokers are at four times the risk than non-smokers).</w:t>
      </w:r>
    </w:p>
    <w:p w14:paraId="5F1E5F99" w14:textId="77777777" w:rsidR="00B16F46" w:rsidRPr="00330CB5" w:rsidRDefault="00B16F46" w:rsidP="00B16F46">
      <w:pPr>
        <w:rPr>
          <w:rFonts w:ascii="Times New Roman" w:hAnsi="Times New Roman" w:cs="Times New Roman"/>
          <w:color w:val="000017"/>
          <w:sz w:val="24"/>
          <w:szCs w:val="24"/>
        </w:rPr>
      </w:pPr>
    </w:p>
    <w:p w14:paraId="2B465EF4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b/>
          <w:i/>
          <w:color w:val="000017"/>
          <w:sz w:val="24"/>
          <w:szCs w:val="24"/>
        </w:rPr>
        <w:t>General complications:</w:t>
      </w:r>
    </w:p>
    <w:p w14:paraId="45B57F79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Atelectasis - mechanical pneumonia.</w:t>
      </w:r>
    </w:p>
    <w:p w14:paraId="5EE80DB6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Pulmonary em</w:t>
      </w:r>
      <w:r>
        <w:rPr>
          <w:rFonts w:ascii="Times New Roman" w:hAnsi="Times New Roman" w:cs="Times New Roman"/>
          <w:color w:val="000017"/>
          <w:sz w:val="24"/>
          <w:szCs w:val="24"/>
        </w:rPr>
        <w:t>bolus (blood clot in the lungs)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 which can lead to death.</w:t>
      </w:r>
    </w:p>
    <w:p w14:paraId="0762E745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Deep vein thrombophlebitis (blood clot in the leg).</w:t>
      </w:r>
    </w:p>
    <w:p w14:paraId="784F07F9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Complications related to urinary catheter.</w:t>
      </w:r>
    </w:p>
    <w:p w14:paraId="0AF1C75B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Urinary tract infection, sepsis/death.</w:t>
      </w:r>
    </w:p>
    <w:p w14:paraId="7879B71C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Continued pain after surgery due to failure of the procedure to relieve pre-operative complaints of pain.</w:t>
      </w:r>
    </w:p>
    <w:p w14:paraId="7072B131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Pain from bone graft site.</w:t>
      </w:r>
    </w:p>
    <w:p w14:paraId="7B04A719" w14:textId="77777777" w:rsidR="00B16F46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Progression of spinal stenosis at the same or other levels.</w:t>
      </w:r>
    </w:p>
    <w:p w14:paraId="7C8B657C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>
        <w:rPr>
          <w:rFonts w:ascii="Times New Roman" w:hAnsi="Times New Roman" w:cs="Times New Roman"/>
          <w:color w:val="000017"/>
          <w:sz w:val="24"/>
          <w:szCs w:val="24"/>
        </w:rPr>
        <w:t xml:space="preserve">-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Heart attach due to strain on the heart</w:t>
      </w:r>
    </w:p>
    <w:p w14:paraId="0AC14C8C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>
        <w:rPr>
          <w:rFonts w:ascii="Times New Roman" w:hAnsi="Times New Roman" w:cs="Times New Roman"/>
          <w:color w:val="000017"/>
          <w:sz w:val="24"/>
          <w:szCs w:val="24"/>
        </w:rPr>
        <w:t xml:space="preserve">-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Stroke or transient ischemic episodes</w:t>
      </w:r>
    </w:p>
    <w:p w14:paraId="34A24C22" w14:textId="77777777" w:rsidR="00B16F46" w:rsidRPr="001512B3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17"/>
          <w:sz w:val="24"/>
          <w:szCs w:val="24"/>
        </w:rPr>
      </w:pPr>
      <w:r w:rsidRPr="001512B3">
        <w:rPr>
          <w:rFonts w:ascii="Times New Roman" w:hAnsi="Times New Roman" w:cs="Times New Roman"/>
          <w:b/>
          <w:i/>
          <w:color w:val="000017"/>
          <w:sz w:val="24"/>
          <w:szCs w:val="24"/>
        </w:rPr>
        <w:t>Other complications:</w:t>
      </w:r>
    </w:p>
    <w:p w14:paraId="514F93CF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bookmarkStart w:id="0" w:name="_Hlk498599340"/>
      <w:r w:rsidRPr="00330CB5">
        <w:rPr>
          <w:rFonts w:ascii="Times New Roman" w:hAnsi="Times New Roman" w:cs="Times New Roman"/>
          <w:color w:val="000017"/>
          <w:sz w:val="24"/>
          <w:szCs w:val="24"/>
        </w:rPr>
        <w:t>–</w:t>
      </w:r>
      <w:bookmarkEnd w:id="0"/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 Erectile dysfunction.</w:t>
      </w:r>
    </w:p>
    <w:p w14:paraId="74E655C5" w14:textId="77777777" w:rsidR="00B16F46" w:rsidRPr="00B3408C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B3408C">
        <w:rPr>
          <w:rFonts w:ascii="Times New Roman" w:hAnsi="Times New Roman" w:cs="Times New Roman"/>
          <w:color w:val="000017"/>
          <w:sz w:val="24"/>
          <w:szCs w:val="24"/>
        </w:rPr>
        <w:t>–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 Swelling. </w:t>
      </w:r>
    </w:p>
    <w:p w14:paraId="43756425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A very small risk of arterial cl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ot breaking loose and traveling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to the left thereby cutting blood supply –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 this will require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emergent surgery to remove 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or dissolve the clot – you will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be monitored for this during surgery</w:t>
      </w:r>
      <w:r>
        <w:rPr>
          <w:rFonts w:ascii="Times New Roman" w:hAnsi="Times New Roman" w:cs="Times New Roman"/>
          <w:color w:val="000017"/>
          <w:sz w:val="24"/>
          <w:szCs w:val="24"/>
        </w:rPr>
        <w:t>, if it occurs there is risk of loss of all or part of the left leg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.</w:t>
      </w:r>
    </w:p>
    <w:p w14:paraId="098FC9C5" w14:textId="77777777" w:rsidR="00B16F46" w:rsidRDefault="00B16F46" w:rsidP="00B16F46">
      <w:pPr>
        <w:rPr>
          <w:rFonts w:ascii="Times New Roman" w:hAnsi="Times New Roman" w:cs="Times New Roman"/>
          <w:color w:val="000017"/>
          <w:sz w:val="24"/>
          <w:szCs w:val="24"/>
        </w:rPr>
      </w:pPr>
      <w:r>
        <w:rPr>
          <w:rFonts w:ascii="Times New Roman" w:hAnsi="Times New Roman" w:cs="Times New Roman"/>
          <w:color w:val="000017"/>
          <w:sz w:val="24"/>
          <w:szCs w:val="24"/>
        </w:rPr>
        <w:t>--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Incisional hernia – requiring surgery</w:t>
      </w:r>
    </w:p>
    <w:p w14:paraId="6C3C3460" w14:textId="77777777" w:rsidR="00B16F46" w:rsidRPr="00330CB5" w:rsidRDefault="00B16F46" w:rsidP="00B16F46">
      <w:pPr>
        <w:rPr>
          <w:rFonts w:ascii="Times New Roman" w:hAnsi="Times New Roman" w:cs="Times New Roman"/>
          <w:color w:val="000017"/>
          <w:sz w:val="24"/>
          <w:szCs w:val="24"/>
        </w:rPr>
      </w:pPr>
      <w:r>
        <w:rPr>
          <w:rFonts w:ascii="Times New Roman" w:hAnsi="Times New Roman" w:cs="Times New Roman"/>
          <w:color w:val="000017"/>
          <w:sz w:val="24"/>
          <w:szCs w:val="24"/>
        </w:rPr>
        <w:t>--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 Gastrointestinal bleeding from the stress of surgery.</w:t>
      </w:r>
    </w:p>
    <w:p w14:paraId="5CB22E59" w14:textId="77777777" w:rsidR="00B16F46" w:rsidRPr="00330CB5" w:rsidRDefault="00B16F46" w:rsidP="00B16F46">
      <w:pPr>
        <w:rPr>
          <w:rFonts w:ascii="Times New Roman" w:hAnsi="Times New Roman" w:cs="Times New Roman"/>
          <w:color w:val="000017"/>
          <w:sz w:val="24"/>
          <w:szCs w:val="24"/>
        </w:rPr>
      </w:pPr>
    </w:p>
    <w:p w14:paraId="3AA906B1" w14:textId="77777777" w:rsidR="00B16F46" w:rsidRPr="001512B3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17"/>
          <w:sz w:val="24"/>
          <w:szCs w:val="24"/>
        </w:rPr>
      </w:pPr>
      <w:r w:rsidRPr="001512B3">
        <w:rPr>
          <w:rFonts w:ascii="Times New Roman" w:hAnsi="Times New Roman" w:cs="Times New Roman"/>
          <w:b/>
          <w:i/>
          <w:color w:val="000017"/>
          <w:sz w:val="24"/>
          <w:szCs w:val="24"/>
        </w:rPr>
        <w:t>Blood replacement:</w:t>
      </w:r>
    </w:p>
    <w:p w14:paraId="01727F88" w14:textId="77777777" w:rsidR="00B16F46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– Although you may have p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re-deposited your own blood for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surgery, in the event tha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t loss exceeds that anticipated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and you require additio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nal blood, blood from the blood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bank would be used – thi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s might expose you to a risk of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hepatitis or AIDS. All the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 common risks and complications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of this surgery have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 been discussed.</w:t>
      </w:r>
    </w:p>
    <w:p w14:paraId="209345F9" w14:textId="77777777" w:rsidR="00B16F46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</w:p>
    <w:p w14:paraId="4CF01276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>
        <w:rPr>
          <w:rFonts w:ascii="Times New Roman" w:hAnsi="Times New Roman" w:cs="Times New Roman"/>
          <w:color w:val="000017"/>
          <w:sz w:val="24"/>
          <w:szCs w:val="24"/>
        </w:rPr>
        <w:t xml:space="preserve"> There are many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more complications that could occur but the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y occur so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infrequently that are not listed or discussed.</w:t>
      </w:r>
    </w:p>
    <w:p w14:paraId="31011644" w14:textId="77777777" w:rsidR="00B16F46" w:rsidRPr="00330CB5" w:rsidRDefault="00B16F46" w:rsidP="00B16F46">
      <w:pPr>
        <w:rPr>
          <w:rFonts w:ascii="Times New Roman" w:hAnsi="Times New Roman" w:cs="Times New Roman"/>
          <w:color w:val="000017"/>
          <w:sz w:val="24"/>
          <w:szCs w:val="24"/>
        </w:rPr>
      </w:pPr>
    </w:p>
    <w:p w14:paraId="11C00553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b/>
          <w:bCs/>
          <w:color w:val="000017"/>
          <w:sz w:val="24"/>
          <w:szCs w:val="24"/>
        </w:rPr>
        <w:t>Alternatives to Proposed Surgical Care:</w:t>
      </w:r>
    </w:p>
    <w:p w14:paraId="0E98F3BB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eastAsia="Wingdings2" w:hAnsi="Times New Roman" w:cs="Times New Roman"/>
          <w:color w:val="3378FF"/>
          <w:sz w:val="24"/>
          <w:szCs w:val="24"/>
        </w:rPr>
        <w:t xml:space="preserve">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Rest and anti-inflammatory medications</w:t>
      </w:r>
    </w:p>
    <w:p w14:paraId="1CCB17B7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eastAsia="Wingdings2" w:hAnsi="Times New Roman" w:cs="Times New Roman"/>
          <w:color w:val="3378FF"/>
          <w:sz w:val="24"/>
          <w:szCs w:val="24"/>
        </w:rPr>
        <w:t xml:space="preserve">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Exercise/physical therapy/re-conditioning</w:t>
      </w:r>
    </w:p>
    <w:p w14:paraId="36598599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eastAsia="Wingdings2" w:hAnsi="Times New Roman" w:cs="Times New Roman"/>
          <w:color w:val="3378FF"/>
          <w:sz w:val="24"/>
          <w:szCs w:val="24"/>
        </w:rPr>
        <w:t xml:space="preserve">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Brace wear</w:t>
      </w:r>
    </w:p>
    <w:p w14:paraId="23670850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eastAsia="Wingdings2" w:hAnsi="Times New Roman" w:cs="Times New Roman"/>
          <w:color w:val="3378FF"/>
          <w:sz w:val="24"/>
          <w:szCs w:val="24"/>
        </w:rPr>
        <w:t xml:space="preserve">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Another option</w:t>
      </w:r>
    </w:p>
    <w:p w14:paraId="42B6B4B6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Implants, devices and/or pharmacologic agents may be used</w:t>
      </w:r>
    </w:p>
    <w:p w14:paraId="763F872D" w14:textId="77777777" w:rsidR="00B16F46" w:rsidRPr="00330CB5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in a manner considered to be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 an “off-label use” by the FDA.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“Off-label use” refers to using 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a drug, implant or device for a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reason not specifically approved by the FDA. The decision of</w:t>
      </w:r>
    </w:p>
    <w:p w14:paraId="7E31BA1C" w14:textId="77777777" w:rsidR="00B16F46" w:rsidRPr="001512B3" w:rsidRDefault="00B16F46" w:rsidP="00B16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17"/>
          <w:sz w:val="24"/>
          <w:szCs w:val="24"/>
        </w:rPr>
      </w:pPr>
      <w:r w:rsidRPr="00330CB5">
        <w:rPr>
          <w:rFonts w:ascii="Times New Roman" w:hAnsi="Times New Roman" w:cs="Times New Roman"/>
          <w:color w:val="000017"/>
          <w:sz w:val="24"/>
          <w:szCs w:val="24"/>
        </w:rPr>
        <w:t>whether or not to use an implant, device or pharmacologic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agent for an off-label use is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 a matter of medical judgement.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I have been counseled regard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ing the nature of the condition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for which surgery is proposed. 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I understand the alternative(s) to surgery.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I understand that there can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 be no guarantees on a surgical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outcome or that a surgical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 complication will not occur. I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understand that the prop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osed surgical procedure may not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 xml:space="preserve">completely relieve all the 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pain I am experiencing and that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the possibility exists that the</w:t>
      </w:r>
      <w:r>
        <w:rPr>
          <w:rFonts w:ascii="Times New Roman" w:hAnsi="Times New Roman" w:cs="Times New Roman"/>
          <w:color w:val="000017"/>
          <w:sz w:val="24"/>
          <w:szCs w:val="24"/>
        </w:rPr>
        <w:t xml:space="preserve"> pain I currently have could be </w:t>
      </w:r>
      <w:r w:rsidRPr="00330CB5">
        <w:rPr>
          <w:rFonts w:ascii="Times New Roman" w:hAnsi="Times New Roman" w:cs="Times New Roman"/>
          <w:color w:val="000017"/>
          <w:sz w:val="24"/>
          <w:szCs w:val="24"/>
        </w:rPr>
        <w:t>the same or worse after the surgery.</w:t>
      </w:r>
    </w:p>
    <w:p w14:paraId="54BDD29C" w14:textId="77777777" w:rsidR="00B16F46" w:rsidRPr="00330CB5" w:rsidRDefault="00B16F46" w:rsidP="00B16F46">
      <w:pPr>
        <w:rPr>
          <w:rFonts w:ascii="Times New Roman" w:hAnsi="Times New Roman" w:cs="Times New Roman"/>
          <w:sz w:val="24"/>
          <w:szCs w:val="24"/>
        </w:rPr>
      </w:pPr>
    </w:p>
    <w:p w14:paraId="1145900E" w14:textId="77777777" w:rsidR="00B16F46" w:rsidRPr="00330CB5" w:rsidRDefault="00B16F46" w:rsidP="00B16F46">
      <w:pPr>
        <w:rPr>
          <w:rFonts w:ascii="Times New Roman" w:hAnsi="Times New Roman" w:cs="Times New Roman"/>
          <w:sz w:val="24"/>
          <w:szCs w:val="24"/>
        </w:rPr>
      </w:pPr>
    </w:p>
    <w:p w14:paraId="116D6F37" w14:textId="77777777" w:rsidR="00644C85" w:rsidRDefault="00644C85">
      <w:bookmarkStart w:id="1" w:name="_GoBack"/>
      <w:bookmarkEnd w:id="1"/>
    </w:p>
    <w:sectPr w:rsidR="00644C85" w:rsidSect="00330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522A5"/>
    <w:multiLevelType w:val="hybridMultilevel"/>
    <w:tmpl w:val="A6EE8F4A"/>
    <w:lvl w:ilvl="0" w:tplc="31F4C816">
      <w:numFmt w:val="bullet"/>
      <w:lvlText w:val="-"/>
      <w:lvlJc w:val="left"/>
      <w:pPr>
        <w:ind w:left="720" w:hanging="360"/>
      </w:pPr>
      <w:rPr>
        <w:rFonts w:ascii="Goudy Old Style" w:eastAsiaTheme="minorHAnsi" w:hAnsi="Goudy Old Style" w:cs="HelveticaNeue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A9D"/>
    <w:rsid w:val="004F5A9D"/>
    <w:rsid w:val="00644C85"/>
    <w:rsid w:val="007A0234"/>
    <w:rsid w:val="00B16F46"/>
    <w:rsid w:val="00C57B00"/>
    <w:rsid w:val="00D8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FA5D63-65F3-4C1D-9EBE-D533629E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F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16F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B16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bhandarkar</dc:creator>
  <cp:keywords/>
  <dc:description/>
  <cp:lastModifiedBy>amit bhandarkar</cp:lastModifiedBy>
  <cp:revision>2</cp:revision>
  <dcterms:created xsi:type="dcterms:W3CDTF">2018-12-07T15:59:00Z</dcterms:created>
  <dcterms:modified xsi:type="dcterms:W3CDTF">2018-12-07T15:59:00Z</dcterms:modified>
</cp:coreProperties>
</file>